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D69F" w14:textId="77777777" w:rsidR="0095202A" w:rsidRDefault="0095202A" w:rsidP="000D78F4">
      <w:pPr>
        <w:spacing w:after="0"/>
        <w:rPr>
          <w:b/>
          <w:sz w:val="32"/>
          <w:szCs w:val="32"/>
        </w:rPr>
      </w:pPr>
    </w:p>
    <w:p w14:paraId="06F454C0" w14:textId="77777777" w:rsidR="00DE6FB3" w:rsidRPr="00493331" w:rsidRDefault="00514F6B" w:rsidP="000D78F4">
      <w:pPr>
        <w:spacing w:after="0"/>
        <w:rPr>
          <w:b/>
          <w:sz w:val="36"/>
          <w:szCs w:val="36"/>
        </w:rPr>
      </w:pPr>
      <w:r w:rsidRPr="00DE6FB3">
        <w:rPr>
          <w:b/>
          <w:sz w:val="36"/>
          <w:szCs w:val="36"/>
        </w:rPr>
        <w:t>NOT subject to time limit OR work requirement if….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879"/>
        <w:gridCol w:w="266"/>
        <w:gridCol w:w="2160"/>
        <w:gridCol w:w="271"/>
        <w:gridCol w:w="3509"/>
        <w:gridCol w:w="810"/>
        <w:gridCol w:w="4500"/>
      </w:tblGrid>
      <w:tr w:rsidR="00DE6FB3" w14:paraId="5FC2163F" w14:textId="77777777" w:rsidTr="00C80CE9">
        <w:trPr>
          <w:trHeight w:val="800"/>
        </w:trPr>
        <w:tc>
          <w:tcPr>
            <w:tcW w:w="2879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6640C10" w14:textId="77777777" w:rsidR="00DE6FB3" w:rsidRPr="00DE6FB3" w:rsidRDefault="00DE6FB3" w:rsidP="00626AF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Living in an area with a geographic waiver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FA922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78340C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Pregnant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1A121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3F30A0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Participating in an Office of Refugee Resettlement Training Program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4877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699DA4A4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15 % Exemption</w:t>
            </w:r>
          </w:p>
        </w:tc>
      </w:tr>
      <w:tr w:rsidR="00DE6FB3" w14:paraId="7C56DAE9" w14:textId="77777777" w:rsidTr="0036136F">
        <w:tc>
          <w:tcPr>
            <w:tcW w:w="2879" w:type="dxa"/>
            <w:tcBorders>
              <w:right w:val="single" w:sz="4" w:space="0" w:color="auto"/>
            </w:tcBorders>
          </w:tcPr>
          <w:p w14:paraId="33DC5397" w14:textId="77777777" w:rsidR="00DE6FB3" w:rsidRPr="00057C45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 xml:space="preserve">Includes all counties except San Francisco, San Mateo and </w:t>
            </w:r>
            <w:r w:rsidRPr="00057C45">
              <w:t>Santa Clara</w:t>
            </w:r>
          </w:p>
          <w:p w14:paraId="267FA67E" w14:textId="6F2F4930" w:rsidR="0036136F" w:rsidRDefault="00DE6FB3" w:rsidP="0036136F">
            <w:pPr>
              <w:pStyle w:val="ListParagraph"/>
              <w:numPr>
                <w:ilvl w:val="0"/>
                <w:numId w:val="1"/>
              </w:numPr>
            </w:pPr>
            <w:r w:rsidRPr="00057C45">
              <w:t>Th</w:t>
            </w:r>
            <w:r w:rsidR="0036136F">
              <w:t>e ABAWD</w:t>
            </w:r>
            <w:r w:rsidRPr="00057C45">
              <w:t xml:space="preserve"> time limit may apply to different counties in the future, CDSS will release an All County Letter (ACL) every year </w:t>
            </w:r>
          </w:p>
          <w:p w14:paraId="0A22F310" w14:textId="0417B273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 w:rsidRPr="00057C45">
              <w:t>All counties</w:t>
            </w:r>
            <w:r w:rsidR="0036136F">
              <w:t xml:space="preserve"> will </w:t>
            </w:r>
            <w:r>
              <w:t xml:space="preserve">track people to whom the ABAWD rules apply </w:t>
            </w:r>
          </w:p>
          <w:p w14:paraId="79D364A2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No verification is required</w:t>
            </w:r>
            <w:r w:rsidR="00626AF7">
              <w:t xml:space="preserve"> apart from residency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C8810E" w14:textId="77777777" w:rsidR="00DE6FB3" w:rsidRDefault="00DE6FB3" w:rsidP="00DE6FB3">
            <w:pPr>
              <w:pStyle w:val="ListParagraph"/>
              <w:ind w:left="360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00BC6A2" w14:textId="1C258A92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Not subject to time limit starting the month of conception</w:t>
            </w:r>
          </w:p>
          <w:p w14:paraId="6ED018CE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36136F">
              <w:t>ountable months c</w:t>
            </w:r>
            <w:r>
              <w:t xml:space="preserve">an </w:t>
            </w:r>
            <w:r w:rsidR="0036136F">
              <w:t xml:space="preserve">be removed </w:t>
            </w:r>
            <w:r>
              <w:t>retroactively</w:t>
            </w:r>
          </w:p>
          <w:p w14:paraId="40547C84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Client statement is accepted unless questionable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399A2A" w14:textId="77777777" w:rsidR="00DE6FB3" w:rsidRDefault="00DE6FB3" w:rsidP="00DE6FB3"/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</w:tcPr>
          <w:p w14:paraId="30DBF84D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Must participate at least half-time</w:t>
            </w:r>
          </w:p>
          <w:p w14:paraId="01D180E9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 xml:space="preserve">A list of programs can be found here: </w:t>
            </w:r>
            <w:hyperlink r:id="rId7" w:history="1">
              <w:r w:rsidRPr="006D7407">
                <w:rPr>
                  <w:rStyle w:val="Hyperlink"/>
                </w:rPr>
                <w:t>https://www.acf.hhs.gov/orr/resource/state-of-california-programs-and-services-by-locality</w:t>
              </w:r>
            </w:hyperlink>
          </w:p>
          <w:p w14:paraId="5D4B2370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Client should provide verification of participation, collateral contact statements are accepted</w:t>
            </w:r>
          </w:p>
          <w:p w14:paraId="269B73C1" w14:textId="77777777" w:rsidR="00DE6FB3" w:rsidRPr="00057C45" w:rsidRDefault="00DE6FB3" w:rsidP="00BE0C71">
            <w:pPr>
              <w:rPr>
                <w:b/>
              </w:rPr>
            </w:pPr>
          </w:p>
          <w:p w14:paraId="34B48B74" w14:textId="77777777" w:rsidR="00DE6FB3" w:rsidRDefault="00DE6FB3" w:rsidP="00BE0C71">
            <w:pPr>
              <w:pStyle w:val="ListParagraph"/>
              <w:ind w:left="360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6C0E7" w14:textId="77777777" w:rsidR="00DE6FB3" w:rsidRDefault="00DE6FB3" w:rsidP="00942842">
            <w:pPr>
              <w:pStyle w:val="ListParagraph"/>
              <w:ind w:left="360"/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060BA85" w14:textId="77777777" w:rsidR="00304D8B" w:rsidRDefault="00304D8B" w:rsidP="00802E04"/>
          <w:p w14:paraId="6A36A4D4" w14:textId="77777777" w:rsidR="00802E04" w:rsidRDefault="00802E04" w:rsidP="00802E04">
            <w:pPr>
              <w:pStyle w:val="ListParagraph"/>
              <w:ind w:left="360"/>
              <w:rPr>
                <w:rFonts w:eastAsia="Arial" w:cstheme="minorHAnsi"/>
              </w:rPr>
            </w:pPr>
            <w:r w:rsidRPr="008A37AA">
              <w:rPr>
                <w:rFonts w:eastAsia="Arial" w:cstheme="minorHAnsi"/>
              </w:rPr>
              <w:t>Federal law provides that each state be allotted a number of individual exemptions equal to 15 percent of the state's annual SNAP caseload th</w:t>
            </w:r>
            <w:r>
              <w:rPr>
                <w:rFonts w:eastAsia="Arial" w:cstheme="minorHAnsi"/>
              </w:rPr>
              <w:t xml:space="preserve">at is subject to the ABAWD time </w:t>
            </w:r>
            <w:r w:rsidRPr="008A37AA">
              <w:rPr>
                <w:rFonts w:eastAsia="Arial" w:cstheme="minorHAnsi"/>
              </w:rPr>
              <w:t>limit.</w:t>
            </w:r>
            <w:r>
              <w:rPr>
                <w:rFonts w:eastAsia="Arial" w:cstheme="minorHAnsi"/>
              </w:rPr>
              <w:t xml:space="preserve"> </w:t>
            </w:r>
          </w:p>
          <w:p w14:paraId="35050860" w14:textId="77777777" w:rsidR="00802E04" w:rsidRDefault="00802E04" w:rsidP="00802E04">
            <w:pPr>
              <w:pStyle w:val="ListParagraph"/>
              <w:ind w:left="360"/>
              <w:rPr>
                <w:rFonts w:eastAsia="Arial" w:cstheme="minorHAnsi"/>
              </w:rPr>
            </w:pPr>
          </w:p>
          <w:p w14:paraId="646AE04A" w14:textId="4B359BAA" w:rsidR="00802E04" w:rsidRPr="008A37AA" w:rsidRDefault="00802E04" w:rsidP="00802E04">
            <w:pPr>
              <w:pStyle w:val="ListParagraph"/>
              <w:ind w:left="360"/>
              <w:rPr>
                <w:rFonts w:eastAsia="Arial" w:cstheme="minorHAnsi"/>
              </w:rPr>
            </w:pPr>
            <w:r w:rsidRPr="008A37AA">
              <w:rPr>
                <w:rFonts w:eastAsia="Arial" w:cstheme="minorHAnsi"/>
              </w:rPr>
              <w:t xml:space="preserve">Each 15 percent exemption is equal to one full month of </w:t>
            </w:r>
            <w:proofErr w:type="spellStart"/>
            <w:r w:rsidRPr="008A37AA">
              <w:rPr>
                <w:rFonts w:eastAsia="Arial" w:cstheme="minorHAnsi"/>
              </w:rPr>
              <w:t>CalFresh</w:t>
            </w:r>
            <w:proofErr w:type="spellEnd"/>
            <w:r w:rsidRPr="008A37AA">
              <w:rPr>
                <w:rFonts w:eastAsia="Arial" w:cstheme="minorHAnsi"/>
              </w:rPr>
              <w:t xml:space="preserve"> eligibility for one </w:t>
            </w:r>
            <w:r>
              <w:rPr>
                <w:rFonts w:eastAsia="Arial" w:cstheme="minorHAnsi"/>
              </w:rPr>
              <w:t>individual</w:t>
            </w:r>
            <w:r w:rsidRPr="008A37AA">
              <w:rPr>
                <w:rFonts w:eastAsia="Arial" w:cstheme="minorHAnsi"/>
              </w:rPr>
              <w:t>.</w:t>
            </w:r>
          </w:p>
          <w:p w14:paraId="1E1AA2B2" w14:textId="77777777" w:rsidR="00304D8B" w:rsidRDefault="00304D8B" w:rsidP="00802E04"/>
          <w:p w14:paraId="7EE04227" w14:textId="77777777" w:rsidR="00304D8B" w:rsidRDefault="00304D8B" w:rsidP="00304D8B">
            <w:pPr>
              <w:pStyle w:val="ListParagraph"/>
              <w:ind w:left="360"/>
            </w:pPr>
          </w:p>
        </w:tc>
      </w:tr>
    </w:tbl>
    <w:p w14:paraId="2B190984" w14:textId="77777777" w:rsidR="00057C45" w:rsidRPr="00942842" w:rsidRDefault="00057C45" w:rsidP="000D78F4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942842" w:rsidRPr="00942842" w14:paraId="56CB9055" w14:textId="77777777" w:rsidTr="00D243E1">
        <w:tc>
          <w:tcPr>
            <w:tcW w:w="14390" w:type="dxa"/>
            <w:gridSpan w:val="3"/>
            <w:shd w:val="clear" w:color="auto" w:fill="000000" w:themeFill="text1"/>
            <w:vAlign w:val="bottom"/>
          </w:tcPr>
          <w:p w14:paraId="7A8EE3F1" w14:textId="77777777" w:rsidR="00942842" w:rsidRPr="00DE6FB3" w:rsidRDefault="00942842" w:rsidP="00D243E1">
            <w:pPr>
              <w:jc w:val="center"/>
              <w:rPr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Physically or mentally unable to work for 80 hours a month</w:t>
            </w:r>
          </w:p>
        </w:tc>
      </w:tr>
      <w:tr w:rsidR="00942842" w14:paraId="6EF0C47E" w14:textId="77777777" w:rsidTr="0036136F">
        <w:tc>
          <w:tcPr>
            <w:tcW w:w="4796" w:type="dxa"/>
            <w:shd w:val="clear" w:color="auto" w:fill="E7E6E6" w:themeFill="background2"/>
            <w:vAlign w:val="bottom"/>
          </w:tcPr>
          <w:p w14:paraId="5A6CE96A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Applied/receiving temporary or permanent public or private disability benefits</w:t>
            </w:r>
          </w:p>
        </w:tc>
        <w:tc>
          <w:tcPr>
            <w:tcW w:w="4797" w:type="dxa"/>
            <w:shd w:val="clear" w:color="auto" w:fill="E7E6E6" w:themeFill="background2"/>
            <w:vAlign w:val="bottom"/>
          </w:tcPr>
          <w:p w14:paraId="1F436DDD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Obviously unable to work based on eligibility worker observation/judgement</w:t>
            </w:r>
          </w:p>
        </w:tc>
        <w:tc>
          <w:tcPr>
            <w:tcW w:w="4797" w:type="dxa"/>
            <w:shd w:val="clear" w:color="auto" w:fill="E7E6E6" w:themeFill="background2"/>
            <w:vAlign w:val="bottom"/>
          </w:tcPr>
          <w:p w14:paraId="78DA6F67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Medically certified as unable to work for 80 hours a month</w:t>
            </w:r>
          </w:p>
        </w:tc>
      </w:tr>
      <w:tr w:rsidR="00942842" w14:paraId="180CB540" w14:textId="77777777" w:rsidTr="0036136F">
        <w:tc>
          <w:tcPr>
            <w:tcW w:w="4796" w:type="dxa"/>
          </w:tcPr>
          <w:p w14:paraId="25AEFC34" w14:textId="77777777" w:rsidR="00942842" w:rsidRDefault="00942842" w:rsidP="00942842"/>
          <w:p w14:paraId="158040D2" w14:textId="7BAF3F2D" w:rsidR="00802E04" w:rsidRDefault="00802E04" w:rsidP="00802E04">
            <w:r>
              <w:t>Including but not limited to:</w:t>
            </w:r>
          </w:p>
          <w:p w14:paraId="74438337" w14:textId="3C010AEF" w:rsidR="00802E04" w:rsidRDefault="00802E04" w:rsidP="00802E04">
            <w:pPr>
              <w:pStyle w:val="ListParagraph"/>
              <w:numPr>
                <w:ilvl w:val="0"/>
                <w:numId w:val="9"/>
              </w:numPr>
            </w:pPr>
            <w:r>
              <w:t>Veteran’s disability benefits (any rating of disability) Workers compensation</w:t>
            </w:r>
          </w:p>
          <w:p w14:paraId="5D0DC765" w14:textId="0F0D4ED7" w:rsidR="00802E04" w:rsidRDefault="00802E04" w:rsidP="00802E04">
            <w:pPr>
              <w:pStyle w:val="ListParagraph"/>
              <w:numPr>
                <w:ilvl w:val="0"/>
                <w:numId w:val="8"/>
              </w:numPr>
            </w:pPr>
            <w:r>
              <w:t>SSI in a non-pay status (only for the months SSI benefits are not paid) Pending SSI application</w:t>
            </w:r>
          </w:p>
          <w:p w14:paraId="7BB9D500" w14:textId="59038DE1" w:rsidR="00942842" w:rsidRDefault="00802E04" w:rsidP="000D78F4">
            <w:pPr>
              <w:pStyle w:val="ListParagraph"/>
              <w:numPr>
                <w:ilvl w:val="0"/>
                <w:numId w:val="6"/>
              </w:numPr>
            </w:pPr>
            <w:r>
              <w:t>State-issued temporary or permanent disability benefits</w:t>
            </w:r>
          </w:p>
        </w:tc>
        <w:tc>
          <w:tcPr>
            <w:tcW w:w="4797" w:type="dxa"/>
          </w:tcPr>
          <w:p w14:paraId="1E1983AC" w14:textId="77777777" w:rsidR="00942842" w:rsidRDefault="00942842" w:rsidP="00942842"/>
          <w:p w14:paraId="6201DAF0" w14:textId="77777777" w:rsidR="00AD3F3A" w:rsidRDefault="00AD3F3A" w:rsidP="00942842">
            <w:r w:rsidRPr="00AD3F3A">
              <w:t xml:space="preserve">This subcategory requires a discussion with the individual about their ability to work 80 hours a month. </w:t>
            </w:r>
          </w:p>
          <w:p w14:paraId="372C7C0E" w14:textId="77777777" w:rsidR="00AD3F3A" w:rsidRDefault="00AD3F3A" w:rsidP="00942842"/>
          <w:p w14:paraId="409FEC0B" w14:textId="77777777" w:rsidR="00AD3F3A" w:rsidRDefault="00AD3F3A" w:rsidP="00942842">
            <w:r w:rsidRPr="00AD3F3A">
              <w:t xml:space="preserve">It can include things like a broken leg or an apparent mental illness. </w:t>
            </w:r>
          </w:p>
          <w:p w14:paraId="792B7181" w14:textId="77777777" w:rsidR="00AD3F3A" w:rsidRDefault="00AD3F3A" w:rsidP="00942842"/>
          <w:p w14:paraId="12AE6B23" w14:textId="77777777" w:rsidR="00AD3F3A" w:rsidRDefault="00AD3F3A" w:rsidP="00942842">
            <w:r w:rsidRPr="00AD3F3A">
              <w:t xml:space="preserve">Eligibility workers are required to make this determination regardless of whether the interview takes place in-person or over the phone. </w:t>
            </w:r>
          </w:p>
          <w:p w14:paraId="5E1D25FD" w14:textId="77777777" w:rsidR="00AD3F3A" w:rsidRDefault="00AD3F3A" w:rsidP="00942842"/>
          <w:p w14:paraId="0E1AAFE8" w14:textId="7866C810" w:rsidR="00493331" w:rsidRDefault="00AD3F3A" w:rsidP="000D78F4">
            <w:r w:rsidRPr="00AD3F3A">
              <w:t xml:space="preserve">In general, this category includes things that can be seen, heard or smelled including dental and personal hygiene issues.     </w:t>
            </w:r>
          </w:p>
        </w:tc>
        <w:tc>
          <w:tcPr>
            <w:tcW w:w="4797" w:type="dxa"/>
          </w:tcPr>
          <w:p w14:paraId="30DB019E" w14:textId="77777777" w:rsidR="00942842" w:rsidRDefault="00942842" w:rsidP="000D78F4"/>
          <w:p w14:paraId="7C3811AA" w14:textId="41AB509D" w:rsidR="00802E04" w:rsidRDefault="00802E04" w:rsidP="00802E04">
            <w:pPr>
              <w:spacing w:line="0" w:lineRule="atLeas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The CWD can </w:t>
            </w:r>
            <w:r w:rsidRPr="002E3039">
              <w:rPr>
                <w:rFonts w:eastAsia="Arial" w:cstheme="minorHAnsi"/>
              </w:rPr>
              <w:t xml:space="preserve">provide the individual a </w:t>
            </w:r>
            <w:proofErr w:type="spellStart"/>
            <w:r w:rsidRPr="002E3039">
              <w:rPr>
                <w:rFonts w:eastAsia="Arial" w:cstheme="minorHAnsi"/>
              </w:rPr>
              <w:t>CalFresh</w:t>
            </w:r>
            <w:proofErr w:type="spellEnd"/>
            <w:r w:rsidRPr="002E3039">
              <w:rPr>
                <w:rFonts w:eastAsia="Arial" w:cstheme="minorHAnsi"/>
              </w:rPr>
              <w:t xml:space="preserve"> Request for Medical/Mental Health Verification (currently in draft) form that may be completed by a qualified medical or mental health professional.</w:t>
            </w:r>
          </w:p>
          <w:p w14:paraId="4A8B937D" w14:textId="77777777" w:rsidR="00802E04" w:rsidRDefault="00802E04" w:rsidP="00802E04">
            <w:pPr>
              <w:spacing w:line="0" w:lineRule="atLeast"/>
              <w:rPr>
                <w:rFonts w:eastAsia="Arial" w:cstheme="minorHAnsi"/>
              </w:rPr>
            </w:pPr>
          </w:p>
          <w:p w14:paraId="21C184B4" w14:textId="1A1615BC" w:rsidR="00942842" w:rsidRPr="003400D1" w:rsidRDefault="00802E04" w:rsidP="003400D1">
            <w:pPr>
              <w:spacing w:line="0" w:lineRule="atLeast"/>
              <w:rPr>
                <w:rFonts w:eastAsia="Arial" w:cstheme="minorHAnsi"/>
                <w:b/>
              </w:rPr>
            </w:pPr>
            <w:r w:rsidRPr="00802E04">
              <w:rPr>
                <w:rFonts w:eastAsia="Arial" w:cstheme="minorHAnsi"/>
              </w:rPr>
              <w:t>Qualified medical or mental health professionals include, but are not limited to, any of the following: audiologist, dentist, designated representative of the physician’s office, drug and/or alcohol counselor, mental health counselor, midwife, nurse,</w:t>
            </w:r>
            <w:r w:rsidRPr="002E3039">
              <w:t xml:space="preserve"> </w:t>
            </w:r>
            <w:r w:rsidRPr="00802E04">
              <w:rPr>
                <w:rFonts w:eastAsia="Arial" w:cstheme="minorHAnsi"/>
              </w:rPr>
              <w:t>nurse practitioner, occupational therapist, optometrist, orthodontist, osteopath, psychologist, physical therapist, physician, physician’s assistant, podiatrist, social worker, etc.</w:t>
            </w:r>
          </w:p>
        </w:tc>
      </w:tr>
      <w:tr w:rsidR="00942842" w14:paraId="3D01CA4F" w14:textId="77777777" w:rsidTr="00C80CE9">
        <w:tc>
          <w:tcPr>
            <w:tcW w:w="4796" w:type="dxa"/>
            <w:shd w:val="clear" w:color="auto" w:fill="E7E6E6" w:themeFill="background2"/>
            <w:vAlign w:val="center"/>
          </w:tcPr>
          <w:p w14:paraId="3A921325" w14:textId="77777777" w:rsidR="00942842" w:rsidRPr="00063C8D" w:rsidRDefault="00942842" w:rsidP="00626AF7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chronic homelessness</w:t>
            </w:r>
          </w:p>
        </w:tc>
        <w:tc>
          <w:tcPr>
            <w:tcW w:w="4797" w:type="dxa"/>
            <w:shd w:val="clear" w:color="auto" w:fill="E7E6E6" w:themeFill="background2"/>
            <w:vAlign w:val="center"/>
          </w:tcPr>
          <w:p w14:paraId="10F54371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alcohol or drug addiction</w:t>
            </w:r>
          </w:p>
        </w:tc>
        <w:tc>
          <w:tcPr>
            <w:tcW w:w="4797" w:type="dxa"/>
            <w:shd w:val="clear" w:color="auto" w:fill="E7E6E6" w:themeFill="background2"/>
            <w:vAlign w:val="center"/>
          </w:tcPr>
          <w:p w14:paraId="2C290717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escaping domestic violence</w:t>
            </w:r>
          </w:p>
        </w:tc>
      </w:tr>
      <w:tr w:rsidR="00942842" w14:paraId="55F512A6" w14:textId="77777777" w:rsidTr="0036136F">
        <w:tc>
          <w:tcPr>
            <w:tcW w:w="4796" w:type="dxa"/>
          </w:tcPr>
          <w:p w14:paraId="08BB0115" w14:textId="77777777" w:rsidR="00942842" w:rsidRDefault="0036136F" w:rsidP="0064487A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</w:t>
            </w:r>
            <w:r w:rsidR="0064487A">
              <w:t>determination</w:t>
            </w:r>
            <w:r>
              <w:t xml:space="preserve"> </w:t>
            </w:r>
            <w:r w:rsidR="0064487A">
              <w:t>by</w:t>
            </w:r>
            <w:r>
              <w:t xml:space="preserve"> an </w:t>
            </w:r>
            <w:r w:rsidR="00EE2A03">
              <w:t>eligibility</w:t>
            </w:r>
            <w:r>
              <w:t xml:space="preserve"> worker</w:t>
            </w:r>
          </w:p>
          <w:p w14:paraId="4E2C17C6" w14:textId="77777777" w:rsidR="00802E04" w:rsidRDefault="00802E04" w:rsidP="00802E04">
            <w:pPr>
              <w:pStyle w:val="ListParagraph"/>
              <w:ind w:left="360"/>
            </w:pPr>
          </w:p>
          <w:p w14:paraId="43C2D453" w14:textId="77777777" w:rsidR="00802E04" w:rsidRPr="002E3039" w:rsidRDefault="00802E04" w:rsidP="00802E04">
            <w:pPr>
              <w:tabs>
                <w:tab w:val="left" w:pos="2160"/>
              </w:tabs>
              <w:spacing w:line="0" w:lineRule="atLeast"/>
              <w:rPr>
                <w:rFonts w:eastAsia="Arial" w:cstheme="minorHAnsi"/>
              </w:rPr>
            </w:pPr>
            <w:r w:rsidRPr="002E3039">
              <w:rPr>
                <w:rFonts w:eastAsia="Arial" w:cstheme="minorHAnsi"/>
              </w:rPr>
              <w:t xml:space="preserve">An individual shall be considered chronically homeless and exempt from the ABAWD time limit if they meet the </w:t>
            </w:r>
            <w:proofErr w:type="spellStart"/>
            <w:r w:rsidRPr="002E3039">
              <w:rPr>
                <w:rFonts w:eastAsia="Arial" w:cstheme="minorHAnsi"/>
              </w:rPr>
              <w:t>CalFresh</w:t>
            </w:r>
            <w:proofErr w:type="spellEnd"/>
            <w:r w:rsidRPr="002E3039">
              <w:rPr>
                <w:rFonts w:eastAsia="Arial" w:cstheme="minorHAnsi"/>
              </w:rPr>
              <w:t xml:space="preserve"> definition of homeless and if the individual:</w:t>
            </w:r>
          </w:p>
          <w:p w14:paraId="24584AD9" w14:textId="77777777" w:rsidR="00802E04" w:rsidRPr="002E3039" w:rsidRDefault="00802E04" w:rsidP="00802E04">
            <w:pPr>
              <w:pStyle w:val="ListParagraph"/>
              <w:numPr>
                <w:ilvl w:val="0"/>
                <w:numId w:val="10"/>
              </w:numPr>
              <w:tabs>
                <w:tab w:val="left" w:pos="2160"/>
              </w:tabs>
              <w:spacing w:line="0" w:lineRule="atLeast"/>
              <w:ind w:left="1080"/>
              <w:rPr>
                <w:rFonts w:eastAsia="Arial" w:cstheme="minorHAnsi"/>
              </w:rPr>
            </w:pPr>
            <w:r w:rsidRPr="002E3039">
              <w:rPr>
                <w:rFonts w:eastAsia="Arial" w:cstheme="minorHAnsi"/>
              </w:rPr>
              <w:t>Has been homeless for six months or more;</w:t>
            </w:r>
          </w:p>
          <w:p w14:paraId="6A3C2060" w14:textId="77777777" w:rsidR="00802E04" w:rsidRPr="002E3039" w:rsidRDefault="00802E04" w:rsidP="00802E04">
            <w:pPr>
              <w:pStyle w:val="ListParagraph"/>
              <w:numPr>
                <w:ilvl w:val="0"/>
                <w:numId w:val="10"/>
              </w:numPr>
              <w:tabs>
                <w:tab w:val="left" w:pos="2160"/>
              </w:tabs>
              <w:spacing w:line="0" w:lineRule="atLeast"/>
              <w:ind w:left="1080"/>
              <w:rPr>
                <w:rFonts w:eastAsia="Arial" w:cstheme="minorHAnsi"/>
              </w:rPr>
            </w:pPr>
            <w:r w:rsidRPr="002E3039">
              <w:rPr>
                <w:rFonts w:eastAsia="Arial" w:cstheme="minorHAnsi"/>
              </w:rPr>
              <w:t>Has been homeless more than one time in the last year; or</w:t>
            </w:r>
          </w:p>
          <w:p w14:paraId="12E5716F" w14:textId="2C762E76" w:rsidR="00942842" w:rsidRPr="003400D1" w:rsidRDefault="00802E04" w:rsidP="003400D1">
            <w:pPr>
              <w:pStyle w:val="ListParagraph"/>
              <w:numPr>
                <w:ilvl w:val="0"/>
                <w:numId w:val="10"/>
              </w:numPr>
              <w:tabs>
                <w:tab w:val="left" w:pos="2160"/>
              </w:tabs>
              <w:spacing w:line="0" w:lineRule="atLeast"/>
              <w:ind w:left="1080"/>
              <w:rPr>
                <w:rFonts w:eastAsia="Arial" w:cstheme="minorHAnsi"/>
              </w:rPr>
            </w:pPr>
            <w:r w:rsidRPr="002E3039">
              <w:rPr>
                <w:rFonts w:eastAsia="Arial" w:cstheme="minorHAnsi"/>
              </w:rPr>
              <w:t>States they are unable to meet their basic needs. Basic needs include, but are not limited to: adequate shelter, heating and cooling, electricity, running water, food, and clothing.</w:t>
            </w:r>
          </w:p>
        </w:tc>
        <w:tc>
          <w:tcPr>
            <w:tcW w:w="4797" w:type="dxa"/>
          </w:tcPr>
          <w:p w14:paraId="7A38FA9F" w14:textId="77777777" w:rsidR="00802E04" w:rsidRDefault="0064487A" w:rsidP="00802E04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determination by an eligibility worker </w:t>
            </w:r>
          </w:p>
          <w:p w14:paraId="793908D2" w14:textId="77777777" w:rsidR="00802E04" w:rsidRDefault="00802E04" w:rsidP="00802E04">
            <w:pPr>
              <w:pStyle w:val="ListParagraph"/>
              <w:ind w:left="360"/>
            </w:pPr>
          </w:p>
          <w:p w14:paraId="5A035B30" w14:textId="76F3921B" w:rsidR="00802E04" w:rsidRPr="00802E04" w:rsidRDefault="00802E04" w:rsidP="00802E04">
            <w:pPr>
              <w:pStyle w:val="ListParagraph"/>
              <w:ind w:left="360"/>
            </w:pPr>
            <w:r w:rsidRPr="00802E04">
              <w:rPr>
                <w:rFonts w:eastAsia="Arial" w:cstheme="minorHAnsi"/>
              </w:rPr>
              <w:t>Individuals who are not participating in a treatment/rehabilitation program but are dependent on drugs or alcohol to maintain day to day functioning may also be considered struggling with addiction.</w:t>
            </w:r>
          </w:p>
          <w:p w14:paraId="45638DB0" w14:textId="77777777" w:rsidR="00C15935" w:rsidRDefault="00C15935" w:rsidP="000D78F4"/>
          <w:p w14:paraId="173F7A32" w14:textId="77777777" w:rsidR="00493331" w:rsidRDefault="00493331" w:rsidP="000D78F4"/>
          <w:p w14:paraId="793FA129" w14:textId="77777777" w:rsidR="00C15935" w:rsidRDefault="00C15935" w:rsidP="000D78F4"/>
          <w:p w14:paraId="1916894C" w14:textId="77777777" w:rsidR="00493331" w:rsidRDefault="00493331" w:rsidP="000D78F4"/>
          <w:p w14:paraId="109DF590" w14:textId="77777777" w:rsidR="00493331" w:rsidRDefault="00493331" w:rsidP="000D78F4"/>
          <w:p w14:paraId="16E25DB2" w14:textId="77777777" w:rsidR="00493331" w:rsidRDefault="00493331" w:rsidP="000D78F4"/>
        </w:tc>
        <w:tc>
          <w:tcPr>
            <w:tcW w:w="4797" w:type="dxa"/>
          </w:tcPr>
          <w:p w14:paraId="05313AFA" w14:textId="77777777" w:rsidR="00942842" w:rsidRDefault="0064487A" w:rsidP="0064487A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determination by an eligibility worker </w:t>
            </w:r>
          </w:p>
          <w:p w14:paraId="01E5B991" w14:textId="77777777" w:rsidR="00304D8B" w:rsidRDefault="00304D8B" w:rsidP="00802E04"/>
          <w:p w14:paraId="650C9AE8" w14:textId="53BE1F6B" w:rsidR="00304D8B" w:rsidRDefault="00802E04" w:rsidP="00304D8B">
            <w:pPr>
              <w:pStyle w:val="ListParagraph"/>
              <w:ind w:left="360"/>
            </w:pPr>
            <w:r w:rsidRPr="002E3039">
              <w:rPr>
                <w:rFonts w:eastAsia="Arial" w:cstheme="minorHAnsi"/>
              </w:rPr>
              <w:t>A victim of domestic violence if defined as an individual who is fleeing from any type of assaultive, coercive or battering behavior occurring within a domestic relationship.</w:t>
            </w:r>
          </w:p>
          <w:p w14:paraId="2F9FAF12" w14:textId="77777777" w:rsidR="00304D8B" w:rsidRDefault="00304D8B" w:rsidP="00304D8B">
            <w:pPr>
              <w:pStyle w:val="ListParagraph"/>
              <w:ind w:left="360"/>
            </w:pPr>
          </w:p>
          <w:p w14:paraId="1C0C0887" w14:textId="77777777" w:rsidR="00304D8B" w:rsidRDefault="00304D8B" w:rsidP="00304D8B">
            <w:pPr>
              <w:pStyle w:val="ListParagraph"/>
              <w:ind w:left="360"/>
            </w:pPr>
          </w:p>
          <w:p w14:paraId="14AFE55C" w14:textId="77777777" w:rsidR="00304D8B" w:rsidRDefault="00304D8B" w:rsidP="00304D8B">
            <w:pPr>
              <w:pStyle w:val="ListParagraph"/>
              <w:ind w:left="360"/>
            </w:pPr>
          </w:p>
          <w:p w14:paraId="3AFEA462" w14:textId="77777777" w:rsidR="00304D8B" w:rsidRDefault="00304D8B" w:rsidP="00304D8B">
            <w:pPr>
              <w:pStyle w:val="ListParagraph"/>
              <w:ind w:left="360"/>
            </w:pPr>
          </w:p>
        </w:tc>
      </w:tr>
    </w:tbl>
    <w:p w14:paraId="35D95C59" w14:textId="77777777" w:rsidR="000D78F4" w:rsidRPr="00D243E1" w:rsidRDefault="000D78F4" w:rsidP="000D78F4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942842" w:rsidRPr="00D243E1" w14:paraId="382CF99C" w14:textId="77777777" w:rsidTr="00D243E1">
        <w:tc>
          <w:tcPr>
            <w:tcW w:w="14390" w:type="dxa"/>
            <w:gridSpan w:val="4"/>
            <w:shd w:val="clear" w:color="auto" w:fill="000000" w:themeFill="text1"/>
            <w:vAlign w:val="bottom"/>
          </w:tcPr>
          <w:p w14:paraId="6EB88757" w14:textId="77777777" w:rsidR="00942842" w:rsidRPr="00DE6FB3" w:rsidRDefault="00942842" w:rsidP="00304D8B">
            <w:pPr>
              <w:jc w:val="center"/>
              <w:rPr>
                <w:b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 xml:space="preserve">Exempt from </w:t>
            </w:r>
            <w:proofErr w:type="spellStart"/>
            <w:r w:rsidRPr="00DE6FB3">
              <w:rPr>
                <w:b/>
                <w:color w:val="FFFFFF" w:themeColor="background1"/>
                <w:sz w:val="26"/>
                <w:szCs w:val="26"/>
              </w:rPr>
              <w:t>CalFresh</w:t>
            </w:r>
            <w:proofErr w:type="spellEnd"/>
            <w:r w:rsidRPr="00DE6FB3">
              <w:rPr>
                <w:b/>
                <w:color w:val="FFFFFF" w:themeColor="background1"/>
                <w:sz w:val="26"/>
                <w:szCs w:val="26"/>
              </w:rPr>
              <w:t xml:space="preserve"> work registration </w:t>
            </w:r>
            <w:r w:rsidR="00304D8B">
              <w:rPr>
                <w:b/>
                <w:color w:val="FFFFFF" w:themeColor="background1"/>
                <w:sz w:val="26"/>
                <w:szCs w:val="26"/>
              </w:rPr>
              <w:t>= Exempt from ABAWD time limit</w:t>
            </w:r>
          </w:p>
        </w:tc>
      </w:tr>
      <w:tr w:rsidR="00942842" w14:paraId="05143D7A" w14:textId="77777777" w:rsidTr="00C80CE9">
        <w:tc>
          <w:tcPr>
            <w:tcW w:w="3597" w:type="dxa"/>
            <w:shd w:val="clear" w:color="auto" w:fill="E7E6E6" w:themeFill="background2"/>
            <w:vAlign w:val="center"/>
          </w:tcPr>
          <w:p w14:paraId="3070A9D1" w14:textId="769D1761" w:rsidR="00942842" w:rsidRPr="00063C8D" w:rsidRDefault="00942842" w:rsidP="00626AF7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Responsible for taking care of an incapacitated person</w:t>
            </w:r>
            <w:r w:rsidR="00A24BAE">
              <w:rPr>
                <w:b/>
                <w:sz w:val="24"/>
                <w:szCs w:val="24"/>
              </w:rPr>
              <w:t xml:space="preserve"> or child under 6 (does not have to be a household member or relative)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6D2F9017" w14:textId="77777777" w:rsidR="00942842" w:rsidRPr="00063C8D" w:rsidRDefault="00644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Applied for/</w:t>
            </w:r>
            <w:r w:rsidR="00942842" w:rsidRPr="00063C8D">
              <w:rPr>
                <w:b/>
                <w:sz w:val="24"/>
                <w:szCs w:val="24"/>
              </w:rPr>
              <w:t>receiving unemployment insurance benefits</w:t>
            </w:r>
          </w:p>
        </w:tc>
        <w:tc>
          <w:tcPr>
            <w:tcW w:w="3598" w:type="dxa"/>
            <w:shd w:val="clear" w:color="auto" w:fill="E7E6E6" w:themeFill="background2"/>
            <w:vAlign w:val="center"/>
          </w:tcPr>
          <w:p w14:paraId="54B7A20A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Receiving weekly earnings (from a job or self-employment) equal to or greater than $217.50</w:t>
            </w:r>
          </w:p>
        </w:tc>
        <w:tc>
          <w:tcPr>
            <w:tcW w:w="3598" w:type="dxa"/>
            <w:shd w:val="clear" w:color="auto" w:fill="E7E6E6" w:themeFill="background2"/>
            <w:vAlign w:val="center"/>
          </w:tcPr>
          <w:p w14:paraId="23D031D3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Enrolled in school, training program or in</w:t>
            </w:r>
            <w:r w:rsidR="00304D8B">
              <w:rPr>
                <w:b/>
                <w:sz w:val="24"/>
                <w:szCs w:val="24"/>
              </w:rPr>
              <w:t>stitution of higher education at least half-</w:t>
            </w:r>
            <w:r w:rsidRPr="00063C8D">
              <w:rPr>
                <w:b/>
                <w:sz w:val="24"/>
                <w:szCs w:val="24"/>
              </w:rPr>
              <w:t>time</w:t>
            </w:r>
          </w:p>
        </w:tc>
      </w:tr>
      <w:tr w:rsidR="00942842" w14:paraId="01AB8F29" w14:textId="77777777" w:rsidTr="00942842">
        <w:tc>
          <w:tcPr>
            <w:tcW w:w="3597" w:type="dxa"/>
          </w:tcPr>
          <w:p w14:paraId="01A0E082" w14:textId="77777777" w:rsidR="00D243E1" w:rsidRDefault="00D243E1" w:rsidP="00D243E1"/>
          <w:p w14:paraId="13D18185" w14:textId="77777777" w:rsidR="00D243E1" w:rsidRDefault="00D243E1" w:rsidP="00D243E1"/>
          <w:p w14:paraId="676277D3" w14:textId="56DCF480" w:rsidR="00D243E1" w:rsidRDefault="00AD3F3A" w:rsidP="00D243E1">
            <w:r>
              <w:rPr>
                <w:rFonts w:ascii="Calibri" w:hAnsi="Calibri" w:cs="Calibri"/>
                <w:color w:val="000000"/>
              </w:rPr>
              <w:t xml:space="preserve">The incapacitated person does not have to be in the </w:t>
            </w:r>
            <w:proofErr w:type="spellStart"/>
            <w:r>
              <w:rPr>
                <w:rFonts w:ascii="Calibri" w:hAnsi="Calibri" w:cs="Calibri"/>
                <w:color w:val="000000"/>
              </w:rPr>
              <w:t>CalFresh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household or be a relative.</w:t>
            </w:r>
          </w:p>
          <w:p w14:paraId="479BBAF2" w14:textId="77777777" w:rsidR="00D243E1" w:rsidRDefault="00D243E1" w:rsidP="00D243E1"/>
          <w:p w14:paraId="3C5FBD9E" w14:textId="77777777" w:rsidR="00942842" w:rsidRDefault="00942842" w:rsidP="00942842"/>
        </w:tc>
        <w:tc>
          <w:tcPr>
            <w:tcW w:w="3597" w:type="dxa"/>
          </w:tcPr>
          <w:p w14:paraId="3FFA18DC" w14:textId="77777777" w:rsidR="00D243E1" w:rsidRDefault="00D243E1" w:rsidP="00D243E1"/>
          <w:p w14:paraId="78988E2E" w14:textId="77777777" w:rsidR="00D243E1" w:rsidRDefault="00D243E1" w:rsidP="00D243E1"/>
          <w:p w14:paraId="0F9367E2" w14:textId="77777777" w:rsidR="00D243E1" w:rsidRDefault="00D243E1" w:rsidP="00D243E1"/>
          <w:p w14:paraId="2505159B" w14:textId="77777777" w:rsidR="00D243E1" w:rsidRDefault="00D243E1" w:rsidP="00D243E1"/>
          <w:p w14:paraId="4F1AA03E" w14:textId="77777777" w:rsidR="00D243E1" w:rsidRDefault="00D243E1" w:rsidP="00D243E1"/>
          <w:p w14:paraId="4B82488F" w14:textId="77777777" w:rsidR="00942842" w:rsidRDefault="00942842" w:rsidP="00942842"/>
        </w:tc>
        <w:tc>
          <w:tcPr>
            <w:tcW w:w="3598" w:type="dxa"/>
          </w:tcPr>
          <w:p w14:paraId="60266E37" w14:textId="77777777" w:rsidR="00942842" w:rsidRDefault="00942842" w:rsidP="00942842">
            <w:pPr>
              <w:pStyle w:val="ListParagraph"/>
              <w:numPr>
                <w:ilvl w:val="0"/>
                <w:numId w:val="2"/>
              </w:numPr>
            </w:pPr>
            <w:r>
              <w:t>Includes farm workers who have a contract to begin work in the next 30 days</w:t>
            </w:r>
          </w:p>
          <w:p w14:paraId="3D5F0CC5" w14:textId="77777777" w:rsidR="00C15935" w:rsidRDefault="00C15935" w:rsidP="00C15935">
            <w:pPr>
              <w:pStyle w:val="ListParagraph"/>
              <w:ind w:left="360"/>
            </w:pPr>
          </w:p>
          <w:p w14:paraId="0279C4C7" w14:textId="77777777" w:rsidR="00C15935" w:rsidRDefault="00C15935" w:rsidP="00C15935">
            <w:pPr>
              <w:pStyle w:val="ListParagraph"/>
              <w:ind w:left="360"/>
            </w:pPr>
          </w:p>
          <w:p w14:paraId="147EA64A" w14:textId="77777777" w:rsidR="00C15935" w:rsidRDefault="00C15935" w:rsidP="00C15935">
            <w:pPr>
              <w:pStyle w:val="ListParagraph"/>
              <w:ind w:left="360"/>
            </w:pPr>
          </w:p>
          <w:p w14:paraId="59BE2DDD" w14:textId="77777777" w:rsidR="00C15935" w:rsidRDefault="00C15935" w:rsidP="00C15935">
            <w:pPr>
              <w:pStyle w:val="ListParagraph"/>
              <w:ind w:left="360"/>
            </w:pPr>
          </w:p>
          <w:p w14:paraId="6FF264FA" w14:textId="77777777" w:rsidR="00304D8B" w:rsidRDefault="00304D8B" w:rsidP="00304D8B"/>
          <w:p w14:paraId="4118C807" w14:textId="77777777" w:rsidR="00C15935" w:rsidRDefault="00C15935" w:rsidP="00C15935"/>
        </w:tc>
        <w:tc>
          <w:tcPr>
            <w:tcW w:w="3598" w:type="dxa"/>
          </w:tcPr>
          <w:p w14:paraId="06F77D47" w14:textId="77777777" w:rsidR="00AD3F3A" w:rsidRPr="00AD3F3A" w:rsidRDefault="00AD3F3A" w:rsidP="00AD3F3A">
            <w:pPr>
              <w:spacing w:before="20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D3F3A">
              <w:rPr>
                <w:rFonts w:ascii="Calibri" w:eastAsia="Times New Roman" w:hAnsi="Calibri" w:cs="Calibri"/>
                <w:color w:val="000000"/>
              </w:rPr>
              <w:t>The student exemption applies during vacation and recess.</w:t>
            </w:r>
          </w:p>
          <w:p w14:paraId="5A8028D6" w14:textId="72C3660D" w:rsidR="00D243E1" w:rsidRPr="00AD3F3A" w:rsidRDefault="00AD3F3A" w:rsidP="00AD3F3A">
            <w:pPr>
              <w:spacing w:before="200"/>
              <w:jc w:val="both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D3F3A">
              <w:rPr>
                <w:rFonts w:ascii="Calibri" w:eastAsia="Times New Roman" w:hAnsi="Calibri" w:cs="Calibri"/>
                <w:color w:val="000000"/>
              </w:rPr>
              <w:t xml:space="preserve">Enrollment in high school counts as at least half time for ABAWD rules. Many high school seniors turn 18 in their senior year. </w:t>
            </w:r>
          </w:p>
        </w:tc>
      </w:tr>
    </w:tbl>
    <w:p w14:paraId="4D2EFEE7" w14:textId="77777777" w:rsidR="00AD3F3A" w:rsidRDefault="00AD3F3A" w:rsidP="000D78F4">
      <w:pPr>
        <w:spacing w:after="0"/>
      </w:pPr>
    </w:p>
    <w:p w14:paraId="1EF5B943" w14:textId="77777777" w:rsidR="00AD3F3A" w:rsidRDefault="00AD3F3A" w:rsidP="000D78F4">
      <w:pPr>
        <w:spacing w:after="0"/>
      </w:pPr>
    </w:p>
    <w:p w14:paraId="4CE130EB" w14:textId="77777777" w:rsidR="003400D1" w:rsidRDefault="003400D1" w:rsidP="000D78F4">
      <w:pPr>
        <w:spacing w:after="0"/>
        <w:rPr>
          <w:b/>
          <w:sz w:val="36"/>
          <w:szCs w:val="36"/>
        </w:rPr>
      </w:pPr>
    </w:p>
    <w:p w14:paraId="761E8F38" w14:textId="77777777" w:rsidR="003400D1" w:rsidRDefault="003400D1" w:rsidP="000D78F4">
      <w:pPr>
        <w:spacing w:after="0"/>
        <w:rPr>
          <w:b/>
          <w:sz w:val="36"/>
          <w:szCs w:val="36"/>
        </w:rPr>
      </w:pPr>
    </w:p>
    <w:p w14:paraId="642A85A0" w14:textId="77777777" w:rsidR="000D78F4" w:rsidRPr="00DE6FB3" w:rsidRDefault="00514F6B" w:rsidP="000D78F4">
      <w:pPr>
        <w:spacing w:after="0"/>
        <w:rPr>
          <w:b/>
          <w:sz w:val="36"/>
          <w:szCs w:val="36"/>
        </w:rPr>
      </w:pPr>
      <w:r w:rsidRPr="00DE6FB3">
        <w:rPr>
          <w:b/>
          <w:sz w:val="36"/>
          <w:szCs w:val="36"/>
        </w:rPr>
        <w:lastRenderedPageBreak/>
        <w:t>ABAWD Work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4196"/>
        <w:gridCol w:w="4197"/>
        <w:gridCol w:w="4197"/>
      </w:tblGrid>
      <w:tr w:rsidR="000D78F4" w14:paraId="66967D9C" w14:textId="77777777" w:rsidTr="00493331">
        <w:trPr>
          <w:trHeight w:val="537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4721" w14:textId="77777777" w:rsidR="000D78F4" w:rsidRDefault="000D78F4" w:rsidP="000D78F4"/>
        </w:tc>
        <w:tc>
          <w:tcPr>
            <w:tcW w:w="4196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896AE6E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</w:t>
            </w:r>
          </w:p>
        </w:tc>
        <w:tc>
          <w:tcPr>
            <w:tcW w:w="4197" w:type="dxa"/>
            <w:shd w:val="clear" w:color="auto" w:fill="000000" w:themeFill="text1"/>
            <w:vAlign w:val="center"/>
          </w:tcPr>
          <w:p w14:paraId="07AE8BF4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 activities</w:t>
            </w:r>
          </w:p>
        </w:tc>
        <w:tc>
          <w:tcPr>
            <w:tcW w:w="4197" w:type="dxa"/>
            <w:shd w:val="clear" w:color="auto" w:fill="000000" w:themeFill="text1"/>
            <w:vAlign w:val="center"/>
          </w:tcPr>
          <w:p w14:paraId="4E3BC8E3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Workfare</w:t>
            </w:r>
          </w:p>
        </w:tc>
      </w:tr>
      <w:tr w:rsidR="000D78F4" w14:paraId="439D919D" w14:textId="77777777" w:rsidTr="001C2812">
        <w:trPr>
          <w:trHeight w:val="537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65DBF03" w14:textId="77777777" w:rsidR="000D78F4" w:rsidRPr="00493331" w:rsidRDefault="00493331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Examples</w:t>
            </w:r>
          </w:p>
        </w:tc>
        <w:tc>
          <w:tcPr>
            <w:tcW w:w="4196" w:type="dxa"/>
          </w:tcPr>
          <w:p w14:paraId="0B2DADFD" w14:textId="536FB7FD" w:rsidR="00AD3F3A" w:rsidRDefault="00AD3F3A" w:rsidP="000D78F4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Employment</w:t>
            </w:r>
            <w:r w:rsidR="00E26554" w:rsidRPr="008A37AA">
              <w:rPr>
                <w:rFonts w:eastAsia="Arial" w:cstheme="minorHAnsi"/>
              </w:rPr>
              <w:t xml:space="preserve"> </w:t>
            </w:r>
          </w:p>
          <w:p w14:paraId="749D74C9" w14:textId="0DF8FF6C" w:rsidR="00AD3F3A" w:rsidRDefault="00AD3F3A" w:rsidP="000D78F4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Self-employment</w:t>
            </w:r>
          </w:p>
          <w:p w14:paraId="2A054212" w14:textId="4C5CE422" w:rsidR="00493331" w:rsidRDefault="00AD3F3A" w:rsidP="000D78F4">
            <w:r>
              <w:rPr>
                <w:rFonts w:eastAsia="Arial" w:cstheme="minorHAnsi"/>
              </w:rPr>
              <w:t>In-kind work</w:t>
            </w:r>
          </w:p>
          <w:p w14:paraId="26C473F3" w14:textId="77777777" w:rsidR="00493331" w:rsidRDefault="00493331" w:rsidP="000D78F4"/>
        </w:tc>
        <w:tc>
          <w:tcPr>
            <w:tcW w:w="4197" w:type="dxa"/>
          </w:tcPr>
          <w:p w14:paraId="2FC6D386" w14:textId="77777777" w:rsidR="00AD3F3A" w:rsidRDefault="00AD3F3A" w:rsidP="000D78F4">
            <w:proofErr w:type="spellStart"/>
            <w:r>
              <w:t>CalFresh</w:t>
            </w:r>
            <w:proofErr w:type="spellEnd"/>
            <w:r>
              <w:t xml:space="preserve"> E &amp; T components</w:t>
            </w:r>
          </w:p>
          <w:p w14:paraId="0F5CEE63" w14:textId="77777777" w:rsidR="00AD3F3A" w:rsidRDefault="00AD3F3A" w:rsidP="000D78F4">
            <w:r>
              <w:t>A program under WIOA</w:t>
            </w:r>
          </w:p>
          <w:p w14:paraId="111302CE" w14:textId="77777777" w:rsidR="00AD3F3A" w:rsidRDefault="00AD3F3A" w:rsidP="000D78F4">
            <w:r>
              <w:t>A program under the Trade Act of 1974</w:t>
            </w:r>
          </w:p>
          <w:p w14:paraId="59A0E8B9" w14:textId="215F60EB" w:rsidR="00AD3F3A" w:rsidRDefault="00AD3F3A" w:rsidP="000D78F4">
            <w:r>
              <w:t xml:space="preserve">Community service or volunteer work </w:t>
            </w:r>
          </w:p>
        </w:tc>
        <w:tc>
          <w:tcPr>
            <w:tcW w:w="4197" w:type="dxa"/>
          </w:tcPr>
          <w:p w14:paraId="03BFDB87" w14:textId="77777777" w:rsidR="000D78F4" w:rsidRDefault="000D78F4" w:rsidP="000D78F4"/>
          <w:p w14:paraId="0D0CEAEF" w14:textId="77777777" w:rsidR="00AD3F3A" w:rsidRDefault="00AD3F3A" w:rsidP="000D78F4"/>
        </w:tc>
      </w:tr>
      <w:tr w:rsidR="00E26554" w14:paraId="2E7C2D1C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0EE8161F" w14:textId="7B31F3C0" w:rsidR="00E26554" w:rsidRPr="00493331" w:rsidRDefault="00E26554" w:rsidP="00E26554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Hours required</w:t>
            </w:r>
          </w:p>
        </w:tc>
        <w:tc>
          <w:tcPr>
            <w:tcW w:w="4196" w:type="dxa"/>
          </w:tcPr>
          <w:p w14:paraId="08007024" w14:textId="77777777" w:rsidR="00E26554" w:rsidRDefault="00E26554" w:rsidP="00E26554">
            <w:r>
              <w:t xml:space="preserve"> 80 hours monthly</w:t>
            </w:r>
          </w:p>
          <w:p w14:paraId="78A54DD1" w14:textId="50DE2BD5" w:rsidR="00E26554" w:rsidRDefault="00E26554" w:rsidP="00E26554">
            <w:r>
              <w:t>(20 hours a week averaged)</w:t>
            </w:r>
          </w:p>
        </w:tc>
        <w:tc>
          <w:tcPr>
            <w:tcW w:w="4197" w:type="dxa"/>
          </w:tcPr>
          <w:p w14:paraId="4CFDD82A" w14:textId="77777777" w:rsidR="00E26554" w:rsidRDefault="00E26554" w:rsidP="00E26554">
            <w:r>
              <w:t xml:space="preserve"> 80 hours monthly</w:t>
            </w:r>
          </w:p>
          <w:p w14:paraId="78A751B8" w14:textId="415AA7D0" w:rsidR="00E26554" w:rsidRDefault="00E26554" w:rsidP="00E26554">
            <w:r>
              <w:t>(20 hours a week averaged)</w:t>
            </w:r>
          </w:p>
        </w:tc>
        <w:tc>
          <w:tcPr>
            <w:tcW w:w="4197" w:type="dxa"/>
          </w:tcPr>
          <w:p w14:paraId="45F6F75B" w14:textId="242F579B" w:rsidR="00E26554" w:rsidRDefault="00E937AB" w:rsidP="00AD3F3A">
            <w:pPr>
              <w:jc w:val="center"/>
            </w:pPr>
            <w:r>
              <w:rPr>
                <w:noProof/>
              </w:rPr>
              <w:object w:dxaOrig="6420" w:dyaOrig="4845" w14:anchorId="4A7F0B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8.55pt;height:80.8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594218050" r:id="rId9"/>
              </w:object>
            </w:r>
          </w:p>
        </w:tc>
      </w:tr>
      <w:tr w:rsidR="00E26554" w14:paraId="3D7D97AB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6CDB56D9" w14:textId="13DAC4CF" w:rsidR="00E26554" w:rsidRPr="00493331" w:rsidRDefault="00E26554" w:rsidP="00E26554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Can it be combined?</w:t>
            </w:r>
          </w:p>
        </w:tc>
        <w:tc>
          <w:tcPr>
            <w:tcW w:w="4196" w:type="dxa"/>
          </w:tcPr>
          <w:p w14:paraId="359FAE35" w14:textId="77777777" w:rsidR="00E26554" w:rsidRDefault="00E26554" w:rsidP="00E26554"/>
          <w:p w14:paraId="49EAE5F8" w14:textId="4DE4A742" w:rsidR="00E26554" w:rsidRDefault="00E26554" w:rsidP="00E26554">
            <w:r>
              <w:t>Yes</w:t>
            </w:r>
          </w:p>
        </w:tc>
        <w:tc>
          <w:tcPr>
            <w:tcW w:w="4197" w:type="dxa"/>
          </w:tcPr>
          <w:p w14:paraId="66E9A215" w14:textId="77777777" w:rsidR="00E26554" w:rsidRDefault="00E26554" w:rsidP="00E26554"/>
          <w:p w14:paraId="53853635" w14:textId="57F180DE" w:rsidR="00E26554" w:rsidRDefault="00E26554" w:rsidP="00E26554">
            <w:r>
              <w:t>Yes</w:t>
            </w:r>
          </w:p>
        </w:tc>
        <w:tc>
          <w:tcPr>
            <w:tcW w:w="4197" w:type="dxa"/>
          </w:tcPr>
          <w:p w14:paraId="2BFBECE0" w14:textId="77777777" w:rsidR="00E26554" w:rsidRDefault="00E26554" w:rsidP="00E26554"/>
          <w:p w14:paraId="387D644C" w14:textId="7ABB20C4" w:rsidR="00E26554" w:rsidRDefault="00E26554" w:rsidP="00E26554">
            <w:r>
              <w:t>No</w:t>
            </w:r>
          </w:p>
        </w:tc>
      </w:tr>
      <w:tr w:rsidR="00E26554" w14:paraId="1DEE7D68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16304FB8" w14:textId="77777777" w:rsidR="00E26554" w:rsidRPr="00493331" w:rsidRDefault="00E26554" w:rsidP="00E26554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4196" w:type="dxa"/>
          </w:tcPr>
          <w:p w14:paraId="566EFC17" w14:textId="77777777" w:rsidR="00E26554" w:rsidRDefault="00E26554" w:rsidP="00E26554"/>
          <w:p w14:paraId="4FC2B909" w14:textId="77777777" w:rsidR="00E26554" w:rsidRDefault="00E26554" w:rsidP="00E26554"/>
          <w:p w14:paraId="7C417D3C" w14:textId="77777777" w:rsidR="00E26554" w:rsidRDefault="00E26554" w:rsidP="00E26554"/>
        </w:tc>
        <w:tc>
          <w:tcPr>
            <w:tcW w:w="4197" w:type="dxa"/>
          </w:tcPr>
          <w:p w14:paraId="776E675F" w14:textId="77777777" w:rsidR="00E26554" w:rsidRDefault="00E26554" w:rsidP="00E26554"/>
        </w:tc>
        <w:tc>
          <w:tcPr>
            <w:tcW w:w="4197" w:type="dxa"/>
          </w:tcPr>
          <w:p w14:paraId="61809C06" w14:textId="77777777" w:rsidR="00E26554" w:rsidRDefault="00E26554" w:rsidP="00E26554"/>
        </w:tc>
      </w:tr>
    </w:tbl>
    <w:p w14:paraId="6733A040" w14:textId="4297A120" w:rsidR="002F7550" w:rsidRDefault="002F7550" w:rsidP="004A5D9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Good Cause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865"/>
      </w:tblGrid>
      <w:tr w:rsidR="002F7550" w14:paraId="1AAD1786" w14:textId="77777777" w:rsidTr="002F7550">
        <w:tc>
          <w:tcPr>
            <w:tcW w:w="1525" w:type="dxa"/>
            <w:vAlign w:val="center"/>
          </w:tcPr>
          <w:p w14:paraId="4BC0B72B" w14:textId="2BE01665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What is it:</w:t>
            </w:r>
          </w:p>
        </w:tc>
        <w:tc>
          <w:tcPr>
            <w:tcW w:w="12865" w:type="dxa"/>
          </w:tcPr>
          <w:p w14:paraId="3B3FD3CC" w14:textId="7259B6E2" w:rsidR="00F52B78" w:rsidRDefault="00FA7B34" w:rsidP="004A5D97">
            <w:pPr>
              <w:rPr>
                <w:b/>
                <w:sz w:val="36"/>
                <w:szCs w:val="36"/>
              </w:rPr>
            </w:pPr>
            <w:r>
              <w:t>Term used to excuse a person when they were unable to meet the work requirement for a reason/situation outside of their control.</w:t>
            </w:r>
          </w:p>
        </w:tc>
      </w:tr>
      <w:tr w:rsidR="002F7550" w14:paraId="5DD48EDD" w14:textId="77777777" w:rsidTr="002F7550">
        <w:tc>
          <w:tcPr>
            <w:tcW w:w="1525" w:type="dxa"/>
            <w:vAlign w:val="center"/>
          </w:tcPr>
          <w:p w14:paraId="7D6C1E0F" w14:textId="7950676F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 w:rsidRPr="00493331">
              <w:rPr>
                <w:b/>
                <w:sz w:val="26"/>
                <w:szCs w:val="26"/>
              </w:rPr>
              <w:t>Examples</w:t>
            </w:r>
          </w:p>
        </w:tc>
        <w:tc>
          <w:tcPr>
            <w:tcW w:w="12865" w:type="dxa"/>
          </w:tcPr>
          <w:p w14:paraId="37CA1000" w14:textId="05038032" w:rsidR="00862818" w:rsidRPr="00CE7FFA" w:rsidRDefault="00CE7FFA" w:rsidP="00CE7F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7B34">
              <w:rPr>
                <w:rFonts w:ascii="Calibri" w:eastAsia="Times New Roman" w:hAnsi="Calibri" w:cs="Calibri"/>
                <w:color w:val="000000"/>
              </w:rPr>
              <w:t xml:space="preserve">Good cause can be granted for many reasons including, but not limited to, if a person was sick, had to take care of a sick family member, had an emergency, lacked transportation. Good cause is also applied when there is a declaration of a disaster. There is no verification required, the eligibility worker will document the reason for good cause. </w:t>
            </w:r>
          </w:p>
        </w:tc>
      </w:tr>
      <w:tr w:rsidR="002F7550" w14:paraId="3CE8BBCE" w14:textId="77777777" w:rsidTr="002F7550">
        <w:tc>
          <w:tcPr>
            <w:tcW w:w="1525" w:type="dxa"/>
            <w:vAlign w:val="center"/>
          </w:tcPr>
          <w:p w14:paraId="3E799D56" w14:textId="64A19617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12865" w:type="dxa"/>
          </w:tcPr>
          <w:p w14:paraId="4A006E9A" w14:textId="77777777" w:rsidR="002F7550" w:rsidRDefault="002F7550" w:rsidP="004A5D97">
            <w:pPr>
              <w:rPr>
                <w:b/>
                <w:sz w:val="36"/>
                <w:szCs w:val="36"/>
              </w:rPr>
            </w:pPr>
          </w:p>
          <w:p w14:paraId="5A95B90B" w14:textId="77777777" w:rsidR="00F52B78" w:rsidRDefault="00F52B78" w:rsidP="004A5D97">
            <w:pPr>
              <w:rPr>
                <w:b/>
                <w:sz w:val="36"/>
                <w:szCs w:val="36"/>
              </w:rPr>
            </w:pPr>
          </w:p>
        </w:tc>
      </w:tr>
    </w:tbl>
    <w:p w14:paraId="1EED3351" w14:textId="77777777" w:rsidR="002F7550" w:rsidRDefault="002F7550" w:rsidP="004A5D97">
      <w:pPr>
        <w:spacing w:after="0"/>
        <w:rPr>
          <w:b/>
          <w:sz w:val="36"/>
          <w:szCs w:val="36"/>
        </w:rPr>
      </w:pPr>
    </w:p>
    <w:p w14:paraId="4FAFE40B" w14:textId="55180FE3" w:rsidR="002F7550" w:rsidRDefault="00862818" w:rsidP="002F755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Countable M</w:t>
      </w:r>
      <w:r w:rsidR="002F7550">
        <w:rPr>
          <w:b/>
          <w:sz w:val="36"/>
          <w:szCs w:val="36"/>
        </w:rPr>
        <w:t>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865"/>
      </w:tblGrid>
      <w:tr w:rsidR="002F7550" w14:paraId="223AEB03" w14:textId="77777777" w:rsidTr="00862818">
        <w:tc>
          <w:tcPr>
            <w:tcW w:w="1525" w:type="dxa"/>
            <w:vAlign w:val="center"/>
          </w:tcPr>
          <w:p w14:paraId="5E552764" w14:textId="573A3E74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What is it:</w:t>
            </w:r>
          </w:p>
        </w:tc>
        <w:tc>
          <w:tcPr>
            <w:tcW w:w="12865" w:type="dxa"/>
          </w:tcPr>
          <w:p w14:paraId="03D5200B" w14:textId="71C66104" w:rsidR="002F7550" w:rsidRPr="00862818" w:rsidRDefault="002F7550" w:rsidP="002F7550">
            <w:pPr>
              <w:pStyle w:val="NormalWeb"/>
              <w:spacing w:before="20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2818">
              <w:rPr>
                <w:rFonts w:ascii="Calibri" w:hAnsi="Calibri" w:cs="Calibri"/>
                <w:color w:val="000000"/>
                <w:sz w:val="22"/>
                <w:szCs w:val="22"/>
              </w:rPr>
              <w:t>An adult subject to the ABAWD time limit who is NOT exempt and is NOT meeting the work requirement can only receive benefits for three months</w:t>
            </w:r>
            <w:r w:rsidR="00A24B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 of every 36 months</w:t>
            </w:r>
            <w:r w:rsidRPr="00862818">
              <w:rPr>
                <w:rFonts w:ascii="Calibri" w:hAnsi="Calibri" w:cs="Calibri"/>
                <w:color w:val="000000"/>
                <w:sz w:val="22"/>
                <w:szCs w:val="22"/>
              </w:rPr>
              <w:t>, those three months are called the countable months.</w:t>
            </w:r>
          </w:p>
        </w:tc>
      </w:tr>
      <w:tr w:rsidR="002F7550" w14:paraId="626D2BD4" w14:textId="77777777" w:rsidTr="00862818">
        <w:tc>
          <w:tcPr>
            <w:tcW w:w="1525" w:type="dxa"/>
            <w:vAlign w:val="center"/>
          </w:tcPr>
          <w:p w14:paraId="4956A197" w14:textId="299CFBB7" w:rsidR="002F7550" w:rsidRPr="00862818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 w:rsidRPr="00862818">
              <w:rPr>
                <w:b/>
                <w:sz w:val="26"/>
                <w:szCs w:val="26"/>
              </w:rPr>
              <w:t>Key points</w:t>
            </w:r>
          </w:p>
        </w:tc>
        <w:tc>
          <w:tcPr>
            <w:tcW w:w="12865" w:type="dxa"/>
          </w:tcPr>
          <w:p w14:paraId="7606E09C" w14:textId="56BF3749" w:rsidR="002F7550" w:rsidRDefault="002F7550" w:rsidP="002F7550">
            <w:pPr>
              <w:pStyle w:val="ListParagraph"/>
              <w:numPr>
                <w:ilvl w:val="0"/>
                <w:numId w:val="2"/>
              </w:numPr>
            </w:pPr>
            <w:r w:rsidRPr="00862818">
              <w:t xml:space="preserve">Must be a full month of benefits, meaning not prorated or partial benefits. </w:t>
            </w:r>
            <w:r w:rsidR="00A24BAE">
              <w:t>G</w:t>
            </w:r>
            <w:r w:rsidRPr="00862818">
              <w:t xml:space="preserve">enerally, the month of application will not be considered a countable month since benefits will be prorated for that month depending on the day of the month the client applied. </w:t>
            </w:r>
          </w:p>
          <w:p w14:paraId="7F8832DB" w14:textId="50C276FE" w:rsidR="002F7550" w:rsidRDefault="002F7550" w:rsidP="002F7550">
            <w:pPr>
              <w:pStyle w:val="ListParagraph"/>
              <w:numPr>
                <w:ilvl w:val="0"/>
                <w:numId w:val="2"/>
              </w:numPr>
            </w:pPr>
            <w:r w:rsidRPr="00862818">
              <w:t>If the adult qualifies for an exemption at any time during the month, then it’s not a countable month.</w:t>
            </w:r>
          </w:p>
          <w:p w14:paraId="57616C5C" w14:textId="4F86EC99" w:rsidR="00F52B78" w:rsidRDefault="00F52B78" w:rsidP="002F7550">
            <w:pPr>
              <w:pStyle w:val="ListParagraph"/>
              <w:numPr>
                <w:ilvl w:val="0"/>
                <w:numId w:val="2"/>
              </w:numPr>
            </w:pPr>
            <w:r>
              <w:t xml:space="preserve">It is also not a countable month if the adult lives in a waived county or turns 50 during the month. </w:t>
            </w:r>
          </w:p>
          <w:p w14:paraId="4F5BD6F3" w14:textId="0366A4A4" w:rsidR="00A24BAE" w:rsidRPr="00862818" w:rsidRDefault="00A24BAE" w:rsidP="002F7550">
            <w:pPr>
              <w:pStyle w:val="ListParagraph"/>
              <w:numPr>
                <w:ilvl w:val="0"/>
                <w:numId w:val="2"/>
              </w:numPr>
            </w:pPr>
            <w:r>
              <w:t>Countable months do not have to be consecutive.</w:t>
            </w:r>
          </w:p>
          <w:p w14:paraId="1B81ECFB" w14:textId="7BE30EFA" w:rsidR="00A24BAE" w:rsidRPr="00862818" w:rsidRDefault="002F7550">
            <w:pPr>
              <w:pStyle w:val="ListParagraph"/>
              <w:numPr>
                <w:ilvl w:val="0"/>
                <w:numId w:val="2"/>
              </w:numPr>
            </w:pPr>
            <w:r w:rsidRPr="00862818">
              <w:rPr>
                <w:rFonts w:ascii="Calibri" w:hAnsi="Calibri" w:cs="Calibri"/>
                <w:color w:val="000000"/>
              </w:rPr>
              <w:t>Countable months can be removed retroactively for a month in which either the work requirement was met or an exemption applied. As in the case of when an individual becomes pregnant.</w:t>
            </w:r>
          </w:p>
        </w:tc>
      </w:tr>
      <w:tr w:rsidR="002F7550" w14:paraId="2B7FD741" w14:textId="77777777" w:rsidTr="00862818">
        <w:tc>
          <w:tcPr>
            <w:tcW w:w="1525" w:type="dxa"/>
            <w:vAlign w:val="center"/>
          </w:tcPr>
          <w:p w14:paraId="11374B45" w14:textId="2713FD43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12865" w:type="dxa"/>
          </w:tcPr>
          <w:p w14:paraId="66279CF1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14:paraId="114F5516" w14:textId="77777777" w:rsidR="002F7550" w:rsidRDefault="002F7550" w:rsidP="002F7550">
            <w:pPr>
              <w:rPr>
                <w:b/>
                <w:sz w:val="36"/>
                <w:szCs w:val="36"/>
              </w:rPr>
            </w:pPr>
          </w:p>
        </w:tc>
      </w:tr>
    </w:tbl>
    <w:p w14:paraId="7BFBA3FC" w14:textId="77777777" w:rsidR="00862818" w:rsidRDefault="00862818" w:rsidP="004A5D97">
      <w:pPr>
        <w:spacing w:after="0"/>
        <w:rPr>
          <w:b/>
          <w:sz w:val="36"/>
          <w:szCs w:val="36"/>
        </w:rPr>
      </w:pPr>
    </w:p>
    <w:p w14:paraId="169B1B91" w14:textId="577D4EC2" w:rsidR="002F7550" w:rsidRDefault="002F7550" w:rsidP="004A5D9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Regaining Eligibility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145"/>
      </w:tblGrid>
      <w:tr w:rsidR="00862818" w14:paraId="3B3CE631" w14:textId="77777777" w:rsidTr="00862818">
        <w:tc>
          <w:tcPr>
            <w:tcW w:w="2245" w:type="dxa"/>
            <w:vAlign w:val="center"/>
          </w:tcPr>
          <w:p w14:paraId="79152979" w14:textId="5DEB8F39" w:rsidR="00862818" w:rsidRDefault="00862818" w:rsidP="00463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After using up their 3 countable months,</w:t>
            </w:r>
          </w:p>
          <w:p w14:paraId="725525FB" w14:textId="555A159A" w:rsidR="00862818" w:rsidRDefault="00862818" w:rsidP="00463F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 xml:space="preserve">clients can regain </w:t>
            </w:r>
            <w:proofErr w:type="spellStart"/>
            <w:r>
              <w:rPr>
                <w:b/>
                <w:sz w:val="26"/>
                <w:szCs w:val="26"/>
              </w:rPr>
              <w:t>CalFresh</w:t>
            </w:r>
            <w:proofErr w:type="spellEnd"/>
            <w:r>
              <w:rPr>
                <w:b/>
                <w:sz w:val="26"/>
                <w:szCs w:val="26"/>
              </w:rPr>
              <w:t xml:space="preserve"> eligibility in the future if: </w:t>
            </w:r>
          </w:p>
        </w:tc>
        <w:tc>
          <w:tcPr>
            <w:tcW w:w="12145" w:type="dxa"/>
          </w:tcPr>
          <w:p w14:paraId="15D22825" w14:textId="77777777" w:rsidR="00AD3F3A" w:rsidRPr="00AD3F3A" w:rsidRDefault="00AD3F3A" w:rsidP="00AD3F3A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eastAsia="Arial" w:cstheme="minorHAnsi"/>
              </w:rPr>
            </w:pPr>
            <w:r w:rsidRPr="00AD3F3A">
              <w:rPr>
                <w:rFonts w:eastAsia="Arial" w:cstheme="minorHAnsi"/>
              </w:rPr>
              <w:t>Satisfy the ABAWD work requirement for any consecutive 30-day period; OR</w:t>
            </w:r>
          </w:p>
          <w:p w14:paraId="3A5AD215" w14:textId="77777777" w:rsidR="00AD3F3A" w:rsidRPr="00D67F3C" w:rsidRDefault="00AD3F3A" w:rsidP="00AD3F3A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eastAsia="Arial" w:cstheme="minorHAnsi"/>
              </w:rPr>
            </w:pPr>
            <w:r w:rsidRPr="00D67F3C">
              <w:rPr>
                <w:rFonts w:eastAsia="Arial" w:cstheme="minorHAnsi"/>
              </w:rPr>
              <w:t>Qualify for an ABAWD exemption for any part of the month; OR</w:t>
            </w:r>
          </w:p>
          <w:p w14:paraId="493A43C6" w14:textId="77777777" w:rsidR="00AD3F3A" w:rsidRPr="00D67F3C" w:rsidRDefault="00AD3F3A" w:rsidP="00AD3F3A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eastAsia="Arial" w:cstheme="minorHAnsi"/>
              </w:rPr>
            </w:pPr>
            <w:r w:rsidRPr="00D67F3C">
              <w:rPr>
                <w:rFonts w:eastAsia="Arial" w:cstheme="minorHAnsi"/>
              </w:rPr>
              <w:t>Move to a waiver area; OR</w:t>
            </w:r>
          </w:p>
          <w:p w14:paraId="479F0984" w14:textId="32CD41C2" w:rsidR="00862818" w:rsidRPr="00AD3F3A" w:rsidRDefault="00AD3F3A" w:rsidP="00AD3F3A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eastAsia="Arial" w:cstheme="minorHAnsi"/>
              </w:rPr>
            </w:pPr>
            <w:r w:rsidRPr="00D67F3C">
              <w:rPr>
                <w:rFonts w:eastAsia="Arial" w:cstheme="minorHAnsi"/>
              </w:rPr>
              <w:t>Reach the end of the 36-month time clock.</w:t>
            </w:r>
          </w:p>
        </w:tc>
      </w:tr>
      <w:tr w:rsidR="00862818" w14:paraId="086A34E3" w14:textId="77777777" w:rsidTr="00862818">
        <w:tc>
          <w:tcPr>
            <w:tcW w:w="2245" w:type="dxa"/>
            <w:vAlign w:val="center"/>
          </w:tcPr>
          <w:p w14:paraId="20BF03B6" w14:textId="77777777" w:rsidR="00862818" w:rsidRDefault="00862818" w:rsidP="00463F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12145" w:type="dxa"/>
          </w:tcPr>
          <w:p w14:paraId="5AFE29FE" w14:textId="77777777" w:rsidR="00862818" w:rsidRDefault="00862818" w:rsidP="00463FEE">
            <w:pPr>
              <w:rPr>
                <w:b/>
                <w:sz w:val="36"/>
                <w:szCs w:val="36"/>
              </w:rPr>
            </w:pPr>
          </w:p>
          <w:p w14:paraId="639DDD0C" w14:textId="77777777" w:rsidR="00862818" w:rsidRDefault="00862818" w:rsidP="00463FEE">
            <w:pPr>
              <w:rPr>
                <w:b/>
                <w:sz w:val="36"/>
                <w:szCs w:val="36"/>
              </w:rPr>
            </w:pPr>
          </w:p>
          <w:p w14:paraId="3A360527" w14:textId="77777777" w:rsidR="00862818" w:rsidRDefault="00862818" w:rsidP="00463FEE">
            <w:pPr>
              <w:rPr>
                <w:b/>
                <w:sz w:val="36"/>
                <w:szCs w:val="36"/>
              </w:rPr>
            </w:pPr>
          </w:p>
          <w:p w14:paraId="4570834F" w14:textId="77777777" w:rsidR="00862818" w:rsidRDefault="00862818" w:rsidP="00463FEE">
            <w:pPr>
              <w:rPr>
                <w:b/>
                <w:sz w:val="36"/>
                <w:szCs w:val="36"/>
              </w:rPr>
            </w:pPr>
          </w:p>
        </w:tc>
      </w:tr>
    </w:tbl>
    <w:p w14:paraId="4C58195A" w14:textId="77777777" w:rsidR="002F7550" w:rsidRDefault="002F7550" w:rsidP="004A5D97">
      <w:pPr>
        <w:spacing w:after="0"/>
        <w:rPr>
          <w:b/>
          <w:sz w:val="36"/>
          <w:szCs w:val="36"/>
        </w:rPr>
      </w:pPr>
    </w:p>
    <w:p w14:paraId="7D435472" w14:textId="3465EADF" w:rsidR="002F7550" w:rsidRDefault="00862818" w:rsidP="004A5D9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Consecutive M</w:t>
      </w:r>
      <w:r w:rsidR="002F7550">
        <w:rPr>
          <w:b/>
          <w:sz w:val="36"/>
          <w:szCs w:val="36"/>
        </w:rPr>
        <w:t>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865"/>
      </w:tblGrid>
      <w:tr w:rsidR="002F7550" w14:paraId="379F0CD3" w14:textId="77777777" w:rsidTr="00862818">
        <w:tc>
          <w:tcPr>
            <w:tcW w:w="1525" w:type="dxa"/>
            <w:vAlign w:val="center"/>
          </w:tcPr>
          <w:p w14:paraId="4BD7EE25" w14:textId="77777777" w:rsidR="002F7550" w:rsidRDefault="002F7550" w:rsidP="00463F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What is it:</w:t>
            </w:r>
          </w:p>
        </w:tc>
        <w:tc>
          <w:tcPr>
            <w:tcW w:w="12865" w:type="dxa"/>
          </w:tcPr>
          <w:p w14:paraId="35D7ECAA" w14:textId="4824E20A" w:rsidR="002F7550" w:rsidRPr="00F52B78" w:rsidRDefault="00F52B78" w:rsidP="00F52B78">
            <w:pPr>
              <w:tabs>
                <w:tab w:val="left" w:pos="720"/>
              </w:tabs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These are three months of benefits that are available to individuals after they have exhausted their three countable months. </w:t>
            </w:r>
            <w:r w:rsidRPr="00D67F3C">
              <w:rPr>
                <w:rFonts w:eastAsia="Times New Roman" w:cstheme="minorHAnsi"/>
              </w:rPr>
              <w:t xml:space="preserve">This only applies to ABAWDs who have regained eligibility by satisfying the work requirement for any 30 consecutive calendar days, but have subsequently stopped satisfying the work requirement. </w:t>
            </w:r>
          </w:p>
        </w:tc>
      </w:tr>
      <w:tr w:rsidR="002F7550" w14:paraId="2748161D" w14:textId="77777777" w:rsidTr="00862818">
        <w:tc>
          <w:tcPr>
            <w:tcW w:w="1525" w:type="dxa"/>
            <w:vAlign w:val="center"/>
          </w:tcPr>
          <w:p w14:paraId="6BBBD709" w14:textId="77777777" w:rsidR="002F7550" w:rsidRPr="00862818" w:rsidRDefault="002F7550" w:rsidP="00463FEE">
            <w:pPr>
              <w:jc w:val="center"/>
              <w:rPr>
                <w:b/>
                <w:sz w:val="36"/>
                <w:szCs w:val="36"/>
              </w:rPr>
            </w:pPr>
            <w:r w:rsidRPr="00862818">
              <w:rPr>
                <w:b/>
                <w:sz w:val="26"/>
                <w:szCs w:val="26"/>
              </w:rPr>
              <w:t>Key points</w:t>
            </w:r>
          </w:p>
        </w:tc>
        <w:tc>
          <w:tcPr>
            <w:tcW w:w="12865" w:type="dxa"/>
          </w:tcPr>
          <w:p w14:paraId="11E67627" w14:textId="77777777" w:rsidR="00F52B78" w:rsidRPr="00F52B78" w:rsidRDefault="002F7550" w:rsidP="00463FEE">
            <w:pPr>
              <w:pStyle w:val="ListParagraph"/>
              <w:numPr>
                <w:ilvl w:val="0"/>
                <w:numId w:val="2"/>
              </w:numPr>
            </w:pPr>
            <w:r w:rsidRPr="002F7550">
              <w:rPr>
                <w:rFonts w:ascii="Calibri" w:eastAsia="Times New Roman" w:hAnsi="Calibri" w:cs="Calibri"/>
                <w:color w:val="000000"/>
              </w:rPr>
              <w:t>These “consecutive months” are only availa</w:t>
            </w:r>
            <w:r w:rsidRPr="00862818">
              <w:rPr>
                <w:rFonts w:ascii="Calibri" w:eastAsia="Times New Roman" w:hAnsi="Calibri" w:cs="Calibri"/>
                <w:color w:val="000000"/>
              </w:rPr>
              <w:t>ble once in the 36-month time clock</w:t>
            </w:r>
            <w:r w:rsidRPr="002F7550">
              <w:rPr>
                <w:rFonts w:ascii="Calibri" w:eastAsia="Times New Roman" w:hAnsi="Calibri" w:cs="Calibri"/>
                <w:color w:val="000000"/>
              </w:rPr>
              <w:t xml:space="preserve"> and they must be used consecutively.</w:t>
            </w:r>
          </w:p>
          <w:p w14:paraId="2AD778F5" w14:textId="75BEB46A" w:rsidR="002F7550" w:rsidRPr="00862818" w:rsidRDefault="00F52B78" w:rsidP="00F52B78">
            <w:pPr>
              <w:pStyle w:val="ListParagraph"/>
              <w:numPr>
                <w:ilvl w:val="0"/>
                <w:numId w:val="2"/>
              </w:numPr>
            </w:pPr>
            <w:r w:rsidRPr="00D67F3C">
              <w:rPr>
                <w:rFonts w:eastAsia="Times New Roman" w:cstheme="minorHAnsi"/>
              </w:rPr>
              <w:t xml:space="preserve">Once the first of the three consecutive months is issued, the other two months will automatically follow even if the ABAWD satisfies the work requirement during that time. </w:t>
            </w:r>
          </w:p>
        </w:tc>
      </w:tr>
      <w:tr w:rsidR="002F7550" w14:paraId="0C007521" w14:textId="77777777" w:rsidTr="00862818">
        <w:tc>
          <w:tcPr>
            <w:tcW w:w="1525" w:type="dxa"/>
            <w:vAlign w:val="center"/>
          </w:tcPr>
          <w:p w14:paraId="1385187A" w14:textId="77777777" w:rsidR="002F7550" w:rsidRDefault="002F7550" w:rsidP="00463F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12865" w:type="dxa"/>
          </w:tcPr>
          <w:p w14:paraId="18BCA3EB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17E92419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661A8F9F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7408ADCD" w14:textId="77777777" w:rsidR="002F7550" w:rsidRDefault="002F7550" w:rsidP="00463FEE">
            <w:pPr>
              <w:rPr>
                <w:b/>
                <w:sz w:val="36"/>
                <w:szCs w:val="36"/>
              </w:rPr>
            </w:pPr>
          </w:p>
        </w:tc>
      </w:tr>
    </w:tbl>
    <w:p w14:paraId="1B0B8FCE" w14:textId="77777777" w:rsidR="002F7550" w:rsidRPr="002F7550" w:rsidRDefault="002F7550" w:rsidP="004A5D97">
      <w:pPr>
        <w:spacing w:after="0"/>
        <w:rPr>
          <w:b/>
          <w:sz w:val="36"/>
          <w:szCs w:val="36"/>
        </w:rPr>
      </w:pPr>
    </w:p>
    <w:sectPr w:rsidR="002F7550" w:rsidRPr="002F7550" w:rsidSect="00942842">
      <w:headerReference w:type="default" r:id="rId10"/>
      <w:footerReference w:type="default" r:id="rId11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7402B" w14:textId="77777777" w:rsidR="00E937AB" w:rsidRDefault="00E937AB" w:rsidP="0095202A">
      <w:pPr>
        <w:spacing w:after="0" w:line="240" w:lineRule="auto"/>
      </w:pPr>
      <w:r>
        <w:separator/>
      </w:r>
    </w:p>
  </w:endnote>
  <w:endnote w:type="continuationSeparator" w:id="0">
    <w:p w14:paraId="772DDE5F" w14:textId="77777777" w:rsidR="00E937AB" w:rsidRDefault="00E937AB" w:rsidP="0095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AB79" w14:textId="77777777" w:rsidR="00493331" w:rsidRPr="00063C8D" w:rsidRDefault="00493331" w:rsidP="00493331">
    <w:pPr>
      <w:rPr>
        <w:rFonts w:asciiTheme="majorHAnsi" w:hAnsiTheme="majorHAnsi" w:cstheme="majorHAnsi"/>
        <w:sz w:val="16"/>
        <w:szCs w:val="16"/>
      </w:rPr>
    </w:pPr>
    <w:r w:rsidRPr="00063C8D">
      <w:rPr>
        <w:rFonts w:asciiTheme="majorHAnsi" w:hAnsiTheme="majorHAnsi" w:cstheme="majorHAnsi"/>
        <w:sz w:val="16"/>
        <w:szCs w:val="16"/>
      </w:rPr>
      <w:t xml:space="preserve">Funded by USDA SNAP, known in California as </w:t>
    </w:r>
    <w:proofErr w:type="spellStart"/>
    <w:r w:rsidRPr="00063C8D">
      <w:rPr>
        <w:rFonts w:asciiTheme="majorHAnsi" w:hAnsiTheme="majorHAnsi" w:cstheme="majorHAnsi"/>
        <w:sz w:val="16"/>
        <w:szCs w:val="16"/>
      </w:rPr>
      <w:t>CalFresh</w:t>
    </w:r>
    <w:proofErr w:type="spellEnd"/>
    <w:r w:rsidRPr="00063C8D">
      <w:rPr>
        <w:rFonts w:asciiTheme="majorHAnsi" w:hAnsiTheme="majorHAnsi" w:cstheme="majorHAnsi"/>
        <w:sz w:val="16"/>
        <w:szCs w:val="16"/>
      </w:rPr>
      <w:t>, an equal opportunity provider and employer.</w:t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  <w:t>07/09/1</w:t>
    </w:r>
    <w:r w:rsidR="00063C8D" w:rsidRPr="00063C8D">
      <w:rPr>
        <w:rFonts w:asciiTheme="majorHAnsi" w:hAnsiTheme="majorHAnsi" w:cstheme="majorHAnsi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171BB" w14:textId="77777777" w:rsidR="00E937AB" w:rsidRDefault="00E937AB" w:rsidP="0095202A">
      <w:pPr>
        <w:spacing w:after="0" w:line="240" w:lineRule="auto"/>
      </w:pPr>
      <w:r>
        <w:separator/>
      </w:r>
    </w:p>
  </w:footnote>
  <w:footnote w:type="continuationSeparator" w:id="0">
    <w:p w14:paraId="64848231" w14:textId="77777777" w:rsidR="00E937AB" w:rsidRDefault="00E937AB" w:rsidP="0095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AFFA" w14:textId="3F83191F" w:rsidR="0095202A" w:rsidRPr="00DE6FB3" w:rsidRDefault="0095202A" w:rsidP="0095202A">
    <w:pPr>
      <w:spacing w:after="0"/>
      <w:jc w:val="center"/>
      <w:rPr>
        <w:b/>
        <w:sz w:val="36"/>
        <w:szCs w:val="36"/>
      </w:rPr>
    </w:pPr>
    <w:r w:rsidRPr="00DE6FB3">
      <w:rPr>
        <w:b/>
        <w:sz w:val="36"/>
        <w:szCs w:val="36"/>
      </w:rPr>
      <w:t xml:space="preserve">ABAWD </w:t>
    </w:r>
    <w:r w:rsidR="004A5D97">
      <w:rPr>
        <w:b/>
        <w:sz w:val="36"/>
        <w:szCs w:val="36"/>
      </w:rPr>
      <w:t>Rules Cheat Sheet</w:t>
    </w:r>
    <w:r w:rsidRPr="00DE6FB3">
      <w:rPr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00D"/>
    <w:multiLevelType w:val="hybridMultilevel"/>
    <w:tmpl w:val="A2FE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2496"/>
    <w:multiLevelType w:val="hybridMultilevel"/>
    <w:tmpl w:val="5540D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304EE"/>
    <w:multiLevelType w:val="hybridMultilevel"/>
    <w:tmpl w:val="7C542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E45"/>
    <w:multiLevelType w:val="multilevel"/>
    <w:tmpl w:val="C2A2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850F2"/>
    <w:multiLevelType w:val="hybridMultilevel"/>
    <w:tmpl w:val="D74AC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DA38DD"/>
    <w:multiLevelType w:val="hybridMultilevel"/>
    <w:tmpl w:val="59A2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73F5"/>
    <w:multiLevelType w:val="multilevel"/>
    <w:tmpl w:val="9A86A7A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07597"/>
    <w:multiLevelType w:val="hybridMultilevel"/>
    <w:tmpl w:val="045C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65D5E"/>
    <w:multiLevelType w:val="hybridMultilevel"/>
    <w:tmpl w:val="51A4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80E7C"/>
    <w:multiLevelType w:val="hybridMultilevel"/>
    <w:tmpl w:val="B4A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EB"/>
    <w:multiLevelType w:val="hybridMultilevel"/>
    <w:tmpl w:val="F248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26C4F"/>
    <w:multiLevelType w:val="hybridMultilevel"/>
    <w:tmpl w:val="C7942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E8136C"/>
    <w:multiLevelType w:val="hybridMultilevel"/>
    <w:tmpl w:val="9B0CB49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F4"/>
    <w:rsid w:val="00057C45"/>
    <w:rsid w:val="00063C8D"/>
    <w:rsid w:val="000D78F4"/>
    <w:rsid w:val="001B3FBB"/>
    <w:rsid w:val="001C2812"/>
    <w:rsid w:val="002F7550"/>
    <w:rsid w:val="00304D8B"/>
    <w:rsid w:val="003400D1"/>
    <w:rsid w:val="00345A02"/>
    <w:rsid w:val="0036136F"/>
    <w:rsid w:val="00393630"/>
    <w:rsid w:val="00420746"/>
    <w:rsid w:val="00493331"/>
    <w:rsid w:val="004A5D97"/>
    <w:rsid w:val="00514F6B"/>
    <w:rsid w:val="005C5F48"/>
    <w:rsid w:val="00613C8C"/>
    <w:rsid w:val="00626AF7"/>
    <w:rsid w:val="0064487A"/>
    <w:rsid w:val="00802E04"/>
    <w:rsid w:val="00862818"/>
    <w:rsid w:val="00942842"/>
    <w:rsid w:val="0095202A"/>
    <w:rsid w:val="009B742E"/>
    <w:rsid w:val="00A107CE"/>
    <w:rsid w:val="00A24BAE"/>
    <w:rsid w:val="00AD3F3A"/>
    <w:rsid w:val="00BE0C71"/>
    <w:rsid w:val="00C15935"/>
    <w:rsid w:val="00C80CE9"/>
    <w:rsid w:val="00CE7FFA"/>
    <w:rsid w:val="00D243E1"/>
    <w:rsid w:val="00D57378"/>
    <w:rsid w:val="00DE6FB3"/>
    <w:rsid w:val="00E26554"/>
    <w:rsid w:val="00E937AB"/>
    <w:rsid w:val="00EE2A03"/>
    <w:rsid w:val="00F52B78"/>
    <w:rsid w:val="00F52E94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5BE8"/>
  <w15:chartTrackingRefBased/>
  <w15:docId w15:val="{ECD71F1B-7449-45EA-8787-02FC926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F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C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2A"/>
  </w:style>
  <w:style w:type="paragraph" w:styleId="Footer">
    <w:name w:val="footer"/>
    <w:basedOn w:val="Normal"/>
    <w:link w:val="FooterChar"/>
    <w:uiPriority w:val="99"/>
    <w:unhideWhenUsed/>
    <w:rsid w:val="0095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2A"/>
  </w:style>
  <w:style w:type="paragraph" w:styleId="BalloonText">
    <w:name w:val="Balloon Text"/>
    <w:basedOn w:val="Normal"/>
    <w:link w:val="BalloonTextChar"/>
    <w:uiPriority w:val="99"/>
    <w:semiHidden/>
    <w:unhideWhenUsed/>
    <w:rsid w:val="00DE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A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f.hhs.gov/orr/resource/state-of-california-programs-and-services-by-local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cp:lastPrinted>2018-07-09T22:43:00Z</cp:lastPrinted>
  <dcterms:created xsi:type="dcterms:W3CDTF">2018-07-28T00:34:00Z</dcterms:created>
  <dcterms:modified xsi:type="dcterms:W3CDTF">2018-07-28T00:34:00Z</dcterms:modified>
</cp:coreProperties>
</file>